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8B9A1C" w14:textId="21A99CDD" w:rsidR="00370E06" w:rsidRDefault="00D9663F" w:rsidP="00370E06">
      <w:pPr>
        <w:jc w:val="center"/>
        <w:rPr>
          <w:b/>
          <w:bCs/>
        </w:rPr>
      </w:pPr>
      <w:r>
        <w:rPr>
          <w:b/>
          <w:bCs/>
        </w:rPr>
        <w:t xml:space="preserve">Social Determinants of Health </w:t>
      </w:r>
      <w:r w:rsidR="00F64056">
        <w:rPr>
          <w:b/>
          <w:bCs/>
        </w:rPr>
        <w:t>Awareness Campaign Results</w:t>
      </w:r>
    </w:p>
    <w:p w14:paraId="14EB8FA6" w14:textId="7CB5C2FE" w:rsidR="00370E06" w:rsidRPr="00370E06" w:rsidRDefault="004251CA" w:rsidP="00370E06">
      <w:pPr>
        <w:spacing w:after="0"/>
        <w:jc w:val="center"/>
      </w:pPr>
      <w:r>
        <w:t>Submitted by Heidi McNeely</w:t>
      </w:r>
      <w:r w:rsidR="000D77F6">
        <w:t xml:space="preserve">, PhD, RN, PCNS-BC (HPAC </w:t>
      </w:r>
      <w:r>
        <w:t>Member</w:t>
      </w:r>
      <w:r w:rsidR="000D77F6">
        <w:t>)</w:t>
      </w:r>
    </w:p>
    <w:p w14:paraId="4DEF1CD1" w14:textId="6931597C" w:rsidR="00370E06" w:rsidRDefault="00370E06" w:rsidP="00370E06">
      <w:pPr>
        <w:spacing w:after="0"/>
        <w:jc w:val="center"/>
      </w:pPr>
    </w:p>
    <w:p w14:paraId="6A4E4CEB" w14:textId="3230D6EA" w:rsidR="001C3E2A" w:rsidRDefault="00370E06" w:rsidP="001C3E2A">
      <w:pPr>
        <w:spacing w:after="0"/>
      </w:pPr>
      <w:r>
        <w:t xml:space="preserve">SPN’s </w:t>
      </w:r>
      <w:r w:rsidR="004251CA">
        <w:t>Healthcare Policy and Advocacy Committee (HPAC)</w:t>
      </w:r>
      <w:r>
        <w:t xml:space="preserve"> </w:t>
      </w:r>
      <w:r w:rsidR="000D77F6">
        <w:t>recently hosted</w:t>
      </w:r>
      <w:r>
        <w:t xml:space="preserve"> a social media campaign</w:t>
      </w:r>
      <w:r w:rsidR="00D9663F">
        <w:t xml:space="preserve"> in March</w:t>
      </w:r>
      <w:r>
        <w:t xml:space="preserve"> that </w:t>
      </w:r>
      <w:r w:rsidR="00D9663F">
        <w:t xml:space="preserve">was </w:t>
      </w:r>
      <w:r>
        <w:t>on LinkedIn</w:t>
      </w:r>
      <w:r w:rsidR="000D77F6">
        <w:t xml:space="preserve"> and </w:t>
      </w:r>
      <w:r w:rsidR="00092D3A">
        <w:t xml:space="preserve">X (formerly known as </w:t>
      </w:r>
      <w:r>
        <w:t>Twitter</w:t>
      </w:r>
      <w:r w:rsidR="00092D3A">
        <w:t>)</w:t>
      </w:r>
      <w:r>
        <w:t xml:space="preserve">. The campaign was focused on </w:t>
      </w:r>
      <w:r w:rsidR="00796BFC">
        <w:t>Social Determinants of Health</w:t>
      </w:r>
      <w:r w:rsidR="004B44AC">
        <w:t xml:space="preserve"> (SDOH)</w:t>
      </w:r>
      <w:r w:rsidR="00796BFC">
        <w:t xml:space="preserve">. </w:t>
      </w:r>
      <w:r>
        <w:t xml:space="preserve">The campaign </w:t>
      </w:r>
      <w:r w:rsidR="004918A2">
        <w:t xml:space="preserve">ran for 5 weeks with a survey question </w:t>
      </w:r>
      <w:r w:rsidR="004E5200">
        <w:t xml:space="preserve">each week </w:t>
      </w:r>
      <w:r w:rsidR="004918A2">
        <w:t xml:space="preserve">and </w:t>
      </w:r>
      <w:r w:rsidR="004E5200">
        <w:t xml:space="preserve">links to additional </w:t>
      </w:r>
      <w:r w:rsidR="004918A2">
        <w:t xml:space="preserve">resources. </w:t>
      </w:r>
      <w:r w:rsidR="001C3E2A">
        <w:t xml:space="preserve">The HPAC’s goals included solicitation of information specific to pediatric nurses’ awareness of social determinants of health to help identify gaps and to also increase awareness through dialogue and access to existing resources. </w:t>
      </w:r>
      <w:r w:rsidR="004B44AC">
        <w:t xml:space="preserve">The committee will be using this data as we consider additional advocacy education around the role of pediatric nurses within SDOH. </w:t>
      </w:r>
      <w:r w:rsidR="001C3E2A">
        <w:t xml:space="preserve">We appreciate all who participated. </w:t>
      </w:r>
    </w:p>
    <w:p w14:paraId="7727154A" w14:textId="77777777" w:rsidR="001C3E2A" w:rsidRDefault="001C3E2A" w:rsidP="00370E06">
      <w:pPr>
        <w:spacing w:after="0"/>
      </w:pPr>
    </w:p>
    <w:p w14:paraId="5C629E2A" w14:textId="6D3AC609" w:rsidR="004251CA" w:rsidRDefault="004918A2" w:rsidP="004251CA">
      <w:pPr>
        <w:spacing w:after="0"/>
      </w:pPr>
      <w:r>
        <w:t xml:space="preserve">Here is what we heard from </w:t>
      </w:r>
      <w:r w:rsidR="00696406">
        <w:t>respondents</w:t>
      </w:r>
      <w:r>
        <w:t>.</w:t>
      </w:r>
      <w:r w:rsidR="00370E06">
        <w:t xml:space="preserve">  </w:t>
      </w:r>
    </w:p>
    <w:p w14:paraId="10F96CE2" w14:textId="77777777" w:rsidR="00BA4031" w:rsidRDefault="00BA4031" w:rsidP="001C3E2A">
      <w:pPr>
        <w:spacing w:after="0"/>
      </w:pPr>
    </w:p>
    <w:p w14:paraId="69B57BAD" w14:textId="1984078E" w:rsidR="00BA4031" w:rsidRDefault="00DE0959" w:rsidP="00DE0959">
      <w:pPr>
        <w:pStyle w:val="ListParagraph"/>
        <w:numPr>
          <w:ilvl w:val="0"/>
          <w:numId w:val="7"/>
        </w:numPr>
      </w:pPr>
      <w:r>
        <w:t>Are you familiar with social determinants of health (SDOH) for pediatric patients?</w:t>
      </w:r>
    </w:p>
    <w:p w14:paraId="14BE28AE" w14:textId="09CC6AA0" w:rsidR="00ED5522" w:rsidRDefault="005221E2" w:rsidP="00ED5522">
      <w:r>
        <w:rPr>
          <w:noProof/>
        </w:rPr>
        <w:drawing>
          <wp:anchor distT="0" distB="0" distL="114300" distR="114300" simplePos="0" relativeHeight="251658240" behindDoc="0" locked="0" layoutInCell="1" allowOverlap="1" wp14:anchorId="02233EE4" wp14:editId="73CF25AC">
            <wp:simplePos x="0" y="0"/>
            <wp:positionH relativeFrom="column">
              <wp:posOffset>0</wp:posOffset>
            </wp:positionH>
            <wp:positionV relativeFrom="paragraph">
              <wp:posOffset>1905</wp:posOffset>
            </wp:positionV>
            <wp:extent cx="4572000" cy="2743200"/>
            <wp:effectExtent l="0" t="0" r="0" b="0"/>
            <wp:wrapThrough wrapText="bothSides">
              <wp:wrapPolygon edited="0">
                <wp:start x="0" y="0"/>
                <wp:lineTo x="0" y="21450"/>
                <wp:lineTo x="21510" y="21450"/>
                <wp:lineTo x="21510" y="0"/>
                <wp:lineTo x="0" y="0"/>
              </wp:wrapPolygon>
            </wp:wrapThrough>
            <wp:docPr id="789900162" name="Chart 1">
              <a:extLst xmlns:a="http://schemas.openxmlformats.org/drawingml/2006/main">
                <a:ext uri="{FF2B5EF4-FFF2-40B4-BE49-F238E27FC236}">
                  <a16:creationId xmlns:a16="http://schemas.microsoft.com/office/drawing/2014/main" id="{66546E52-C908-6DEA-B2D7-B9B8B1A2FE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page">
              <wp14:pctWidth>0</wp14:pctWidth>
            </wp14:sizeRelH>
            <wp14:sizeRelV relativeFrom="page">
              <wp14:pctHeight>0</wp14:pctHeight>
            </wp14:sizeRelV>
          </wp:anchor>
        </w:drawing>
      </w:r>
    </w:p>
    <w:p w14:paraId="151A01DA" w14:textId="77777777" w:rsidR="00ED5522" w:rsidRDefault="00ED5522" w:rsidP="00ED5522"/>
    <w:p w14:paraId="4874474C" w14:textId="2FE0090D" w:rsidR="00D31621" w:rsidRDefault="00D31621" w:rsidP="00BA4031">
      <w:pPr>
        <w:spacing w:after="0"/>
      </w:pPr>
    </w:p>
    <w:p w14:paraId="40C7F46A" w14:textId="51F8654B" w:rsidR="00D31621" w:rsidRDefault="00D31621" w:rsidP="00BA4031">
      <w:pPr>
        <w:spacing w:after="0"/>
      </w:pPr>
    </w:p>
    <w:p w14:paraId="4152BF78" w14:textId="1E88348A" w:rsidR="00D31621" w:rsidRDefault="00D31621" w:rsidP="00BA4031">
      <w:pPr>
        <w:spacing w:after="0"/>
      </w:pPr>
    </w:p>
    <w:p w14:paraId="6A5452B8" w14:textId="3FF64CB6" w:rsidR="00D31621" w:rsidRDefault="00D31621" w:rsidP="00BA4031">
      <w:pPr>
        <w:spacing w:after="0"/>
      </w:pPr>
    </w:p>
    <w:p w14:paraId="66E9C339" w14:textId="30F34B22" w:rsidR="00D31621" w:rsidRDefault="00D31621" w:rsidP="00BA4031">
      <w:pPr>
        <w:spacing w:after="0"/>
      </w:pPr>
    </w:p>
    <w:p w14:paraId="009620A3" w14:textId="1A6EB30E" w:rsidR="00D31621" w:rsidRDefault="00D31621" w:rsidP="00BA4031">
      <w:pPr>
        <w:spacing w:after="0"/>
      </w:pPr>
    </w:p>
    <w:p w14:paraId="316AE31E" w14:textId="77777777" w:rsidR="005221E2" w:rsidRDefault="005221E2" w:rsidP="00BA4031">
      <w:pPr>
        <w:spacing w:after="0"/>
      </w:pPr>
    </w:p>
    <w:p w14:paraId="65A4C277" w14:textId="77777777" w:rsidR="00FC0ACF" w:rsidRDefault="00FC0ACF" w:rsidP="00BA4031">
      <w:pPr>
        <w:spacing w:after="0"/>
      </w:pPr>
    </w:p>
    <w:p w14:paraId="23D7EF83" w14:textId="2E0C4840" w:rsidR="00D31621" w:rsidRDefault="00D31621" w:rsidP="00BA4031">
      <w:pPr>
        <w:spacing w:after="0"/>
      </w:pPr>
    </w:p>
    <w:p w14:paraId="283C7E4E" w14:textId="33C63743" w:rsidR="00D31621" w:rsidRDefault="00D31621" w:rsidP="00BA4031">
      <w:pPr>
        <w:spacing w:after="0"/>
      </w:pPr>
    </w:p>
    <w:p w14:paraId="5642DB05" w14:textId="5DD9308F" w:rsidR="00D31621" w:rsidRDefault="00D31621" w:rsidP="00BA4031">
      <w:pPr>
        <w:spacing w:after="0"/>
      </w:pPr>
    </w:p>
    <w:p w14:paraId="7028C918" w14:textId="67B7942E" w:rsidR="00D31621" w:rsidRDefault="00D31621" w:rsidP="00BA4031">
      <w:pPr>
        <w:spacing w:after="0"/>
      </w:pPr>
    </w:p>
    <w:p w14:paraId="08BC894C" w14:textId="43EBE141" w:rsidR="00D31621" w:rsidRDefault="00D31621" w:rsidP="00BA4031">
      <w:pPr>
        <w:spacing w:after="0"/>
      </w:pPr>
    </w:p>
    <w:p w14:paraId="2A6C38AF" w14:textId="3C149D47" w:rsidR="00AB5913" w:rsidRDefault="00AB5913" w:rsidP="00AB5913">
      <w:pPr>
        <w:pStyle w:val="ListParagraph"/>
        <w:numPr>
          <w:ilvl w:val="0"/>
          <w:numId w:val="7"/>
        </w:numPr>
      </w:pPr>
      <w:r>
        <w:t xml:space="preserve">How </w:t>
      </w:r>
      <w:proofErr w:type="gramStart"/>
      <w:r>
        <w:t>do</w:t>
      </w:r>
      <w:proofErr w:type="gramEnd"/>
      <w:r>
        <w:t xml:space="preserve"> SDOH impact your daily practice as a pediatric nurse?</w:t>
      </w:r>
    </w:p>
    <w:p w14:paraId="702B46ED" w14:textId="7FAD3329" w:rsidR="005040C3" w:rsidRDefault="00E16FFA" w:rsidP="001A1CD5">
      <w:pPr>
        <w:pStyle w:val="ListParagraph"/>
        <w:numPr>
          <w:ilvl w:val="0"/>
          <w:numId w:val="8"/>
        </w:numPr>
        <w:spacing w:after="0"/>
      </w:pPr>
      <w:r>
        <w:t xml:space="preserve">92% of respondents stated they adapt their care in some way </w:t>
      </w:r>
      <w:r w:rsidR="007E488A">
        <w:t xml:space="preserve">to accommodate for issues related to social determinants of </w:t>
      </w:r>
      <w:proofErr w:type="gramStart"/>
      <w:r w:rsidR="007E488A">
        <w:t>health</w:t>
      </w:r>
      <w:proofErr w:type="gramEnd"/>
    </w:p>
    <w:p w14:paraId="7CD9046F" w14:textId="52F73691" w:rsidR="007E488A" w:rsidRDefault="000C5BDD" w:rsidP="001A1CD5">
      <w:pPr>
        <w:pStyle w:val="ListParagraph"/>
        <w:numPr>
          <w:ilvl w:val="0"/>
          <w:numId w:val="8"/>
        </w:numPr>
        <w:spacing w:after="0"/>
      </w:pPr>
      <w:r>
        <w:t>While a couple people who responded were not sure how SDOH impact their practice</w:t>
      </w:r>
    </w:p>
    <w:p w14:paraId="3E4EC820" w14:textId="0FF75B36" w:rsidR="000C5BDD" w:rsidRDefault="001A1CD5" w:rsidP="001A1CD5">
      <w:pPr>
        <w:pStyle w:val="ListParagraph"/>
        <w:numPr>
          <w:ilvl w:val="0"/>
          <w:numId w:val="8"/>
        </w:numPr>
        <w:spacing w:after="0"/>
      </w:pPr>
      <w:r>
        <w:t xml:space="preserve">Only one person felt this was someone else’s role to </w:t>
      </w:r>
      <w:proofErr w:type="gramStart"/>
      <w:r>
        <w:t>address</w:t>
      </w:r>
      <w:proofErr w:type="gramEnd"/>
    </w:p>
    <w:p w14:paraId="7C14978E" w14:textId="77777777" w:rsidR="005040C3" w:rsidRDefault="005040C3" w:rsidP="005040C3">
      <w:pPr>
        <w:pStyle w:val="ListParagraph"/>
        <w:spacing w:after="0"/>
        <w:ind w:left="1440"/>
      </w:pPr>
    </w:p>
    <w:p w14:paraId="34136727" w14:textId="6852EF89" w:rsidR="00832C6C" w:rsidRDefault="00832C6C" w:rsidP="00832C6C">
      <w:pPr>
        <w:pStyle w:val="ListParagraph"/>
        <w:numPr>
          <w:ilvl w:val="0"/>
          <w:numId w:val="7"/>
        </w:numPr>
      </w:pPr>
      <w:r>
        <w:t xml:space="preserve">Which of the following </w:t>
      </w:r>
      <w:r w:rsidR="00894E2E">
        <w:t>conditions</w:t>
      </w:r>
      <w:r>
        <w:t xml:space="preserve"> are related to SDOH?</w:t>
      </w:r>
    </w:p>
    <w:p w14:paraId="5FCACFE0" w14:textId="125F74A6" w:rsidR="00894E2E" w:rsidRDefault="00894E2E" w:rsidP="00894E2E">
      <w:pPr>
        <w:pStyle w:val="ListParagraph"/>
        <w:numPr>
          <w:ilvl w:val="1"/>
          <w:numId w:val="7"/>
        </w:numPr>
      </w:pPr>
      <w:r>
        <w:t>Ashma</w:t>
      </w:r>
    </w:p>
    <w:p w14:paraId="7E9235CE" w14:textId="5E991495" w:rsidR="00894E2E" w:rsidRDefault="00894E2E" w:rsidP="00894E2E">
      <w:pPr>
        <w:pStyle w:val="ListParagraph"/>
        <w:numPr>
          <w:ilvl w:val="1"/>
          <w:numId w:val="7"/>
        </w:numPr>
      </w:pPr>
      <w:r>
        <w:t>Diabetes</w:t>
      </w:r>
    </w:p>
    <w:p w14:paraId="69959AFB" w14:textId="524075D3" w:rsidR="00894E2E" w:rsidRDefault="00894E2E" w:rsidP="00894E2E">
      <w:pPr>
        <w:pStyle w:val="ListParagraph"/>
        <w:numPr>
          <w:ilvl w:val="1"/>
          <w:numId w:val="7"/>
        </w:numPr>
      </w:pPr>
      <w:r>
        <w:t>Obesity</w:t>
      </w:r>
    </w:p>
    <w:p w14:paraId="0A5085BC" w14:textId="2AC36AE5" w:rsidR="00894E2E" w:rsidRDefault="00894E2E" w:rsidP="00894E2E">
      <w:pPr>
        <w:pStyle w:val="ListParagraph"/>
        <w:numPr>
          <w:ilvl w:val="1"/>
          <w:numId w:val="7"/>
        </w:numPr>
      </w:pPr>
      <w:proofErr w:type="gramStart"/>
      <w:r>
        <w:t>All of</w:t>
      </w:r>
      <w:proofErr w:type="gramEnd"/>
      <w:r>
        <w:t xml:space="preserve"> the above</w:t>
      </w:r>
    </w:p>
    <w:p w14:paraId="2A785E21" w14:textId="7EE6DAF2" w:rsidR="00D31621" w:rsidRPr="00D31621" w:rsidRDefault="004D601E" w:rsidP="007A477B">
      <w:pPr>
        <w:pStyle w:val="ListParagraph"/>
        <w:spacing w:after="0" w:line="240" w:lineRule="auto"/>
        <w:ind w:left="1440"/>
        <w:rPr>
          <w:rFonts w:ascii="Times New Roman" w:hAnsi="Times New Roman" w:cs="Times New Roman"/>
          <w:sz w:val="24"/>
          <w:szCs w:val="24"/>
        </w:rPr>
      </w:pPr>
      <w:r>
        <w:rPr>
          <w:noProof/>
        </w:rPr>
        <w:lastRenderedPageBreak/>
        <w:drawing>
          <wp:inline distT="0" distB="0" distL="0" distR="0" wp14:anchorId="796A8480" wp14:editId="066A15D2">
            <wp:extent cx="4914900" cy="3573780"/>
            <wp:effectExtent l="0" t="0" r="0" b="7620"/>
            <wp:docPr id="794464341" name="Chart 1">
              <a:extLst xmlns:a="http://schemas.openxmlformats.org/drawingml/2006/main">
                <a:ext uri="{FF2B5EF4-FFF2-40B4-BE49-F238E27FC236}">
                  <a16:creationId xmlns:a16="http://schemas.microsoft.com/office/drawing/2014/main" id="{5F086223-88A6-371E-6734-F4BCDAE08C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3427EB75" w14:textId="1D2091D2" w:rsidR="005040C3" w:rsidRDefault="005040C3" w:rsidP="005040C3">
      <w:pPr>
        <w:rPr>
          <w:rFonts w:cstheme="minorHAnsi"/>
          <w:color w:val="000000"/>
        </w:rPr>
      </w:pPr>
    </w:p>
    <w:p w14:paraId="13091827" w14:textId="3C4E71CE" w:rsidR="00FD6A74" w:rsidRDefault="00FD6A74" w:rsidP="00E5664C">
      <w:pPr>
        <w:pStyle w:val="ListParagraph"/>
        <w:numPr>
          <w:ilvl w:val="0"/>
          <w:numId w:val="7"/>
        </w:numPr>
      </w:pPr>
      <w:r>
        <w:t>How do you respond when you have a pediatric patient that presents with a SDOH issue?</w:t>
      </w:r>
    </w:p>
    <w:p w14:paraId="79AEB311" w14:textId="62AA0A59" w:rsidR="00E5664C" w:rsidRDefault="002A2F78" w:rsidP="00E5664C">
      <w:pPr>
        <w:pStyle w:val="ListParagraph"/>
        <w:numPr>
          <w:ilvl w:val="1"/>
          <w:numId w:val="7"/>
        </w:numPr>
      </w:pPr>
      <w:r>
        <w:t>6</w:t>
      </w:r>
      <w:r w:rsidR="00311FB1">
        <w:t>3</w:t>
      </w:r>
      <w:r>
        <w:t xml:space="preserve">% of respondents notify a care </w:t>
      </w:r>
      <w:proofErr w:type="gramStart"/>
      <w:r>
        <w:t>coordinator</w:t>
      </w:r>
      <w:proofErr w:type="gramEnd"/>
    </w:p>
    <w:p w14:paraId="628E1E51" w14:textId="6AF7DAAB" w:rsidR="002E6125" w:rsidRDefault="002E6125" w:rsidP="00E5664C">
      <w:pPr>
        <w:pStyle w:val="ListParagraph"/>
        <w:numPr>
          <w:ilvl w:val="1"/>
          <w:numId w:val="7"/>
        </w:numPr>
      </w:pPr>
      <w:r>
        <w:t>19% flag this in the electronic health record</w:t>
      </w:r>
    </w:p>
    <w:p w14:paraId="527663AA" w14:textId="4CC920A0" w:rsidR="002E6125" w:rsidRDefault="002E6125" w:rsidP="00E5664C">
      <w:pPr>
        <w:pStyle w:val="ListParagraph"/>
        <w:numPr>
          <w:ilvl w:val="1"/>
          <w:numId w:val="7"/>
        </w:numPr>
      </w:pPr>
      <w:r>
        <w:t xml:space="preserve">14% </w:t>
      </w:r>
      <w:r w:rsidR="00C4525E">
        <w:t xml:space="preserve">follow whatever their employer policy </w:t>
      </w:r>
      <w:proofErr w:type="gramStart"/>
      <w:r w:rsidR="00E06E21">
        <w:t>requires</w:t>
      </w:r>
      <w:proofErr w:type="gramEnd"/>
    </w:p>
    <w:p w14:paraId="45B0D646" w14:textId="22BFB7F4" w:rsidR="00C4525E" w:rsidRDefault="00DE18C9" w:rsidP="00E5664C">
      <w:pPr>
        <w:pStyle w:val="ListParagraph"/>
        <w:numPr>
          <w:ilvl w:val="1"/>
          <w:numId w:val="7"/>
        </w:numPr>
      </w:pPr>
      <w:r>
        <w:t>4</w:t>
      </w:r>
      <w:r w:rsidR="00C4525E">
        <w:t xml:space="preserve">% responded they are unsure what to </w:t>
      </w:r>
      <w:proofErr w:type="gramStart"/>
      <w:r w:rsidR="00C4525E">
        <w:t>do</w:t>
      </w:r>
      <w:proofErr w:type="gramEnd"/>
    </w:p>
    <w:p w14:paraId="0954895D" w14:textId="77777777" w:rsidR="00F97538" w:rsidRDefault="00F97538" w:rsidP="00F97538"/>
    <w:p w14:paraId="002FE7A4" w14:textId="77777777" w:rsidR="00F451FC" w:rsidRDefault="00F451FC" w:rsidP="00F451FC">
      <w:pPr>
        <w:pStyle w:val="ListParagraph"/>
        <w:numPr>
          <w:ilvl w:val="0"/>
          <w:numId w:val="7"/>
        </w:numPr>
      </w:pPr>
      <w:r>
        <w:t>What are you most interested in learning about as it relates to pediatric SDOH?</w:t>
      </w:r>
    </w:p>
    <w:p w14:paraId="2F4E080F" w14:textId="3F24D731" w:rsidR="00F97538" w:rsidRDefault="00F451FC" w:rsidP="00F451FC">
      <w:pPr>
        <w:pStyle w:val="ListParagraph"/>
        <w:numPr>
          <w:ilvl w:val="0"/>
          <w:numId w:val="9"/>
        </w:numPr>
      </w:pPr>
      <w:r>
        <w:t>M</w:t>
      </w:r>
      <w:r w:rsidR="00890068">
        <w:t>ajority</w:t>
      </w:r>
      <w:r>
        <w:t xml:space="preserve"> of the respondents </w:t>
      </w:r>
      <w:r w:rsidR="00890068">
        <w:t xml:space="preserve">(52%) </w:t>
      </w:r>
      <w:r>
        <w:t xml:space="preserve">said </w:t>
      </w:r>
      <w:r w:rsidR="00477EFE">
        <w:t xml:space="preserve">they wanted more information on specifics related to pediatrics </w:t>
      </w:r>
      <w:r w:rsidR="007943A1">
        <w:t xml:space="preserve">while just under a third of respondents </w:t>
      </w:r>
      <w:r w:rsidR="00890068">
        <w:t xml:space="preserve">(30%) </w:t>
      </w:r>
      <w:r w:rsidR="007943A1">
        <w:t xml:space="preserve">wanted more examples of implementation </w:t>
      </w:r>
      <w:r w:rsidR="00890068">
        <w:t xml:space="preserve">for interventions related to </w:t>
      </w:r>
      <w:proofErr w:type="gramStart"/>
      <w:r w:rsidR="00890068">
        <w:t>SDOH</w:t>
      </w:r>
      <w:proofErr w:type="gramEnd"/>
    </w:p>
    <w:p w14:paraId="4A93E953" w14:textId="3388EB0B" w:rsidR="004251CA" w:rsidRDefault="006B1E28" w:rsidP="00562DEC">
      <w:pPr>
        <w:pStyle w:val="ListParagraph"/>
        <w:numPr>
          <w:ilvl w:val="0"/>
          <w:numId w:val="9"/>
        </w:numPr>
      </w:pPr>
      <w:r>
        <w:t xml:space="preserve">A few others </w:t>
      </w:r>
      <w:r w:rsidR="00BA67D3">
        <w:t xml:space="preserve">(12%) </w:t>
      </w:r>
      <w:r>
        <w:t xml:space="preserve">said information on assessing SDOH in a clinical area and a general overview would be of interest to </w:t>
      </w:r>
      <w:r w:rsidR="00E06E21">
        <w:t xml:space="preserve">a few </w:t>
      </w:r>
      <w:r w:rsidR="00BA67D3">
        <w:t xml:space="preserve">(6%) </w:t>
      </w:r>
      <w:r w:rsidR="00562DEC">
        <w:t xml:space="preserve">respondents as </w:t>
      </w:r>
      <w:proofErr w:type="gramStart"/>
      <w:r w:rsidR="00562DEC">
        <w:t>well</w:t>
      </w:r>
      <w:proofErr w:type="gramEnd"/>
    </w:p>
    <w:p w14:paraId="278AD2CB" w14:textId="77777777" w:rsidR="008543C6" w:rsidRPr="008543C6" w:rsidRDefault="008543C6" w:rsidP="008543C6">
      <w:pPr>
        <w:spacing w:after="0"/>
        <w:rPr>
          <w:i/>
          <w:iCs/>
          <w:sz w:val="18"/>
        </w:rPr>
      </w:pPr>
      <w:r w:rsidRPr="008543C6">
        <w:rPr>
          <w:i/>
          <w:iCs/>
          <w:sz w:val="18"/>
        </w:rPr>
        <w:t xml:space="preserve">Limitations of the survey questions: Questions only allowed one response to be selected when maybe more than one was </w:t>
      </w:r>
      <w:proofErr w:type="gramStart"/>
      <w:r w:rsidRPr="008543C6">
        <w:rPr>
          <w:i/>
          <w:iCs/>
          <w:sz w:val="18"/>
        </w:rPr>
        <w:t>applicable</w:t>
      </w:r>
      <w:proofErr w:type="gramEnd"/>
      <w:r w:rsidRPr="008543C6">
        <w:rPr>
          <w:i/>
          <w:iCs/>
          <w:sz w:val="18"/>
        </w:rPr>
        <w:t xml:space="preserve"> and the surveys were limited to only 4 responses without an “Other” or free text category option.</w:t>
      </w:r>
    </w:p>
    <w:p w14:paraId="51E93164" w14:textId="77777777" w:rsidR="008543C6" w:rsidRDefault="008543C6" w:rsidP="008543C6"/>
    <w:p w14:paraId="5FEA5458" w14:textId="7DB0328C" w:rsidR="004251CA" w:rsidRDefault="004741FD" w:rsidP="004251CA">
      <w:pPr>
        <w:spacing w:after="0"/>
      </w:pPr>
      <w:r>
        <w:t xml:space="preserve">The social media campaign also provided some additional resources and articles for respondents to access for more information. Those resources are provided </w:t>
      </w:r>
      <w:r w:rsidR="00657B04">
        <w:t>f</w:t>
      </w:r>
      <w:r>
        <w:t>or additional information as desired</w:t>
      </w:r>
      <w:r w:rsidR="00657B04">
        <w:t>.</w:t>
      </w:r>
    </w:p>
    <w:p w14:paraId="1371EDFE" w14:textId="77777777" w:rsidR="00657B04" w:rsidRDefault="00657B04" w:rsidP="004251CA">
      <w:pPr>
        <w:spacing w:after="0"/>
      </w:pPr>
    </w:p>
    <w:p w14:paraId="3CE69629" w14:textId="77DF9FEA" w:rsidR="00657B04" w:rsidRPr="000530D9" w:rsidRDefault="00657B04" w:rsidP="004251CA">
      <w:pPr>
        <w:spacing w:after="0"/>
        <w:rPr>
          <w:b/>
          <w:bCs/>
        </w:rPr>
      </w:pPr>
      <w:r w:rsidRPr="000530D9">
        <w:rPr>
          <w:b/>
          <w:bCs/>
        </w:rPr>
        <w:t>Resources:</w:t>
      </w:r>
    </w:p>
    <w:p w14:paraId="25E3A9D5" w14:textId="77777777" w:rsidR="00657B04" w:rsidRDefault="00657B04" w:rsidP="004251CA">
      <w:pPr>
        <w:spacing w:after="0"/>
      </w:pPr>
    </w:p>
    <w:p w14:paraId="2F6781C8" w14:textId="2FDC8583" w:rsidR="004741FD" w:rsidRDefault="00657B04" w:rsidP="004251CA">
      <w:pPr>
        <w:spacing w:after="0"/>
      </w:pPr>
      <w:r>
        <w:lastRenderedPageBreak/>
        <w:t xml:space="preserve">Centers for Disease Control and Prevention. </w:t>
      </w:r>
      <w:r w:rsidR="007C7569">
        <w:t xml:space="preserve">(2022). </w:t>
      </w:r>
      <w:r w:rsidR="00BD13C7">
        <w:t xml:space="preserve">Social Determinants of Health at CDC. Retrieved from: </w:t>
      </w:r>
      <w:hyperlink r:id="rId7" w:history="1">
        <w:r w:rsidR="007C7569">
          <w:rPr>
            <w:rStyle w:val="Hyperlink"/>
          </w:rPr>
          <w:t>Social Determinants of Health at CDC | About | CDC</w:t>
        </w:r>
      </w:hyperlink>
      <w:r w:rsidR="00F100B3">
        <w:t xml:space="preserve"> (https://www.cdc.gov/about/sdoh)</w:t>
      </w:r>
    </w:p>
    <w:p w14:paraId="719CF13B" w14:textId="77777777" w:rsidR="007C7569" w:rsidRDefault="007C7569" w:rsidP="004251CA">
      <w:pPr>
        <w:spacing w:after="0"/>
      </w:pPr>
    </w:p>
    <w:p w14:paraId="24DE6E81" w14:textId="0FDD8FB1" w:rsidR="001A4514" w:rsidRDefault="001A4514" w:rsidP="004251CA">
      <w:pPr>
        <w:spacing w:after="0"/>
      </w:pPr>
      <w:r>
        <w:t xml:space="preserve">Healthy People 2030. Social Determinants of Health. </w:t>
      </w:r>
      <w:r w:rsidR="00130D1C">
        <w:t xml:space="preserve">Retrieved from: </w:t>
      </w:r>
      <w:hyperlink r:id="rId8" w:history="1">
        <w:r w:rsidR="00130D1C">
          <w:rPr>
            <w:rStyle w:val="Hyperlink"/>
          </w:rPr>
          <w:t>Social Determinants of Health - Healthy People 2030 | health.gov</w:t>
        </w:r>
      </w:hyperlink>
    </w:p>
    <w:p w14:paraId="35975855" w14:textId="77777777" w:rsidR="00130D1C" w:rsidRDefault="00130D1C" w:rsidP="004251CA">
      <w:pPr>
        <w:spacing w:after="0"/>
      </w:pPr>
    </w:p>
    <w:p w14:paraId="48D8DB75" w14:textId="02B23669" w:rsidR="001966E2" w:rsidRPr="00611923" w:rsidRDefault="001966E2" w:rsidP="004251CA">
      <w:pPr>
        <w:spacing w:after="0"/>
      </w:pPr>
      <w:r>
        <w:t xml:space="preserve">Johnson, C.B., Luther, B., </w:t>
      </w:r>
      <w:r w:rsidR="004A038E">
        <w:t xml:space="preserve">Wallace, A.S., &amp; Gibson Kulesa, M. (2022). Social determinants of health: What are they and how do we screen. </w:t>
      </w:r>
      <w:proofErr w:type="spellStart"/>
      <w:r w:rsidR="00611923">
        <w:rPr>
          <w:i/>
          <w:iCs/>
        </w:rPr>
        <w:t>Orthopaedic</w:t>
      </w:r>
      <w:proofErr w:type="spellEnd"/>
      <w:r w:rsidR="00611923">
        <w:rPr>
          <w:i/>
          <w:iCs/>
        </w:rPr>
        <w:t xml:space="preserve"> Nursing, 41</w:t>
      </w:r>
      <w:r w:rsidR="00611923">
        <w:t>(2). 88-100. DOI:</w:t>
      </w:r>
      <w:r w:rsidR="00BA1D79" w:rsidRPr="00BA1D79">
        <w:rPr>
          <w:color w:val="000000"/>
          <w:sz w:val="27"/>
          <w:szCs w:val="27"/>
          <w:shd w:val="clear" w:color="auto" w:fill="FFFFFF"/>
        </w:rPr>
        <w:t xml:space="preserve"> </w:t>
      </w:r>
      <w:r w:rsidR="00BA1D79" w:rsidRPr="00BA1D79">
        <w:rPr>
          <w:color w:val="000000"/>
          <w:shd w:val="clear" w:color="auto" w:fill="FFFFFF"/>
        </w:rPr>
        <w:t>10.1097/NOR.0000000000000829</w:t>
      </w:r>
    </w:p>
    <w:p w14:paraId="27385EF0" w14:textId="77777777" w:rsidR="001966E2" w:rsidRDefault="001966E2" w:rsidP="004251CA">
      <w:pPr>
        <w:spacing w:after="0"/>
      </w:pPr>
    </w:p>
    <w:p w14:paraId="10165F1F" w14:textId="4267E7E7" w:rsidR="007C7569" w:rsidRDefault="00027115" w:rsidP="004251CA">
      <w:pPr>
        <w:spacing w:after="0"/>
      </w:pPr>
      <w:r>
        <w:t xml:space="preserve">National Institutes of Health. </w:t>
      </w:r>
      <w:r w:rsidR="00F10B20">
        <w:t xml:space="preserve">(2023). </w:t>
      </w:r>
      <w:r>
        <w:t xml:space="preserve">Common Data Elements and Social Determinants of Health. Retrieved from: </w:t>
      </w:r>
      <w:hyperlink r:id="rId9" w:history="1">
        <w:r>
          <w:rPr>
            <w:rStyle w:val="Hyperlink"/>
          </w:rPr>
          <w:t>Common Data Elements and Social Determinants of Health | Data Science at NIH</w:t>
        </w:r>
      </w:hyperlink>
    </w:p>
    <w:p w14:paraId="7D9B8087" w14:textId="77777777" w:rsidR="00543ED3" w:rsidRDefault="00543ED3" w:rsidP="004251CA">
      <w:pPr>
        <w:spacing w:after="0"/>
      </w:pPr>
    </w:p>
    <w:p w14:paraId="51AD4FC5" w14:textId="5E665673" w:rsidR="00543ED3" w:rsidRDefault="00543ED3" w:rsidP="004251CA">
      <w:pPr>
        <w:spacing w:after="0"/>
      </w:pPr>
      <w:r>
        <w:t>SPN sponsored webinar from March 14</w:t>
      </w:r>
      <w:r w:rsidRPr="00543ED3">
        <w:rPr>
          <w:vertAlign w:val="superscript"/>
        </w:rPr>
        <w:t>th</w:t>
      </w:r>
      <w:r>
        <w:t>, 2024: Equity Starts Early: Understanding Social Determinants of Health</w:t>
      </w:r>
      <w:r w:rsidR="00581652">
        <w:t>, with Tiffany Ferguson and Marie Stinebuck. Access</w:t>
      </w:r>
      <w:r w:rsidR="00831B10">
        <w:t xml:space="preserve"> this via the SPN website: </w:t>
      </w:r>
      <w:hyperlink r:id="rId10" w:anchor="tab-product_tab_overview" w:history="1">
        <w:r w:rsidR="00831B10">
          <w:rPr>
            <w:rStyle w:val="Hyperlink"/>
          </w:rPr>
          <w:t>Society of Pediatric Nurses: Equity Starts Early: Understanding Social Determinants of Health (pedsnurses.org)</w:t>
        </w:r>
      </w:hyperlink>
    </w:p>
    <w:p w14:paraId="3E6F205E" w14:textId="77777777" w:rsidR="00F10B20" w:rsidRDefault="00F10B20" w:rsidP="004251CA">
      <w:pPr>
        <w:spacing w:after="0"/>
      </w:pPr>
    </w:p>
    <w:p w14:paraId="645E22AF" w14:textId="46FF1973" w:rsidR="00F10B20" w:rsidRPr="008D0058" w:rsidRDefault="006C1B6B" w:rsidP="004251CA">
      <w:pPr>
        <w:spacing w:after="0"/>
      </w:pPr>
      <w:proofErr w:type="spellStart"/>
      <w:r>
        <w:t>Tiase</w:t>
      </w:r>
      <w:proofErr w:type="spellEnd"/>
      <w:r>
        <w:t>, V., Crookston, C.D., Schoenbaum, A., &amp;</w:t>
      </w:r>
      <w:r w:rsidR="008D0058">
        <w:t xml:space="preserve"> Valu, M. (2022). Nurses’ role in addressing social determinants of health. </w:t>
      </w:r>
      <w:r w:rsidR="008D0058">
        <w:rPr>
          <w:i/>
          <w:iCs/>
        </w:rPr>
        <w:t>Nursing, 52</w:t>
      </w:r>
      <w:r w:rsidR="008D0058">
        <w:t>(4)</w:t>
      </w:r>
      <w:r w:rsidR="00924A9F">
        <w:t xml:space="preserve">. 32-37. </w:t>
      </w:r>
      <w:r w:rsidR="00924A9F">
        <w:rPr>
          <w:rStyle w:val="ej-journal-doi"/>
          <w:rFonts w:ascii="Fira Sans" w:hAnsi="Fira Sans"/>
          <w:i/>
          <w:iCs/>
          <w:color w:val="3B3030"/>
          <w:sz w:val="21"/>
          <w:szCs w:val="21"/>
          <w:shd w:val="clear" w:color="auto" w:fill="FFFFFF"/>
        </w:rPr>
        <w:t>DOI: </w:t>
      </w:r>
      <w:r w:rsidR="00924A9F">
        <w:rPr>
          <w:rFonts w:ascii="Fira Sans" w:hAnsi="Fira Sans"/>
          <w:color w:val="3B3030"/>
          <w:sz w:val="21"/>
          <w:szCs w:val="21"/>
          <w:shd w:val="clear" w:color="auto" w:fill="FFFFFF"/>
        </w:rPr>
        <w:t>10.1097/01.NURSE.0000823284.16666.96</w:t>
      </w:r>
    </w:p>
    <w:p w14:paraId="42884A46" w14:textId="01963394" w:rsidR="005040C3" w:rsidRDefault="005040C3" w:rsidP="005040C3">
      <w:pPr>
        <w:pStyle w:val="ListParagraph"/>
        <w:spacing w:after="0"/>
      </w:pPr>
    </w:p>
    <w:sectPr w:rsidR="00504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 Sans">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5E2B3F"/>
    <w:multiLevelType w:val="hybridMultilevel"/>
    <w:tmpl w:val="15E423A2"/>
    <w:lvl w:ilvl="0" w:tplc="30E41F3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60569A"/>
    <w:multiLevelType w:val="multilevel"/>
    <w:tmpl w:val="574EC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112D88"/>
    <w:multiLevelType w:val="hybridMultilevel"/>
    <w:tmpl w:val="E9A273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E5560B5"/>
    <w:multiLevelType w:val="hybridMultilevel"/>
    <w:tmpl w:val="A3FED970"/>
    <w:lvl w:ilvl="0" w:tplc="66A64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3F10F8"/>
    <w:multiLevelType w:val="hybridMultilevel"/>
    <w:tmpl w:val="FF26046E"/>
    <w:lvl w:ilvl="0" w:tplc="F218264E">
      <w:numFmt w:val="bullet"/>
      <w:lvlText w:val="-"/>
      <w:lvlJc w:val="left"/>
      <w:pPr>
        <w:ind w:left="720" w:hanging="360"/>
      </w:pPr>
      <w:rPr>
        <w:rFonts w:ascii="Aptos" w:eastAsiaTheme="minorHAnsi" w:hAnsi="Apto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D2C4B"/>
    <w:multiLevelType w:val="hybridMultilevel"/>
    <w:tmpl w:val="B47A2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537BBC"/>
    <w:multiLevelType w:val="hybridMultilevel"/>
    <w:tmpl w:val="3AD2006A"/>
    <w:lvl w:ilvl="0" w:tplc="0F76843E">
      <w:start w:val="1"/>
      <w:numFmt w:val="bullet"/>
      <w:lvlText w:val="o"/>
      <w:lvlJc w:val="left"/>
      <w:pPr>
        <w:ind w:left="1080" w:hanging="360"/>
      </w:pPr>
      <w:rPr>
        <w:rFonts w:ascii="Courier New" w:hAnsi="Courier New" w:cs="Times New Roman" w:hint="default"/>
        <w:color w:val="7030A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3FE461AE"/>
    <w:multiLevelType w:val="hybridMultilevel"/>
    <w:tmpl w:val="149CE5E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7856804">
    <w:abstractNumId w:val="3"/>
  </w:num>
  <w:num w:numId="2" w16cid:durableId="1821649225">
    <w:abstractNumId w:val="6"/>
  </w:num>
  <w:num w:numId="3" w16cid:durableId="1885945047">
    <w:abstractNumId w:val="7"/>
  </w:num>
  <w:num w:numId="4" w16cid:durableId="1867790380">
    <w:abstractNumId w:val="6"/>
  </w:num>
  <w:num w:numId="5" w16cid:durableId="1504786145">
    <w:abstractNumId w:val="1"/>
  </w:num>
  <w:num w:numId="6" w16cid:durableId="1112945032">
    <w:abstractNumId w:val="4"/>
  </w:num>
  <w:num w:numId="7" w16cid:durableId="2128429370">
    <w:abstractNumId w:val="0"/>
  </w:num>
  <w:num w:numId="8" w16cid:durableId="1723405670">
    <w:abstractNumId w:val="5"/>
  </w:num>
  <w:num w:numId="9" w16cid:durableId="10301860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E06"/>
    <w:rsid w:val="00027115"/>
    <w:rsid w:val="000530D9"/>
    <w:rsid w:val="00092D3A"/>
    <w:rsid w:val="000C5BDD"/>
    <w:rsid w:val="000D77F6"/>
    <w:rsid w:val="000F5227"/>
    <w:rsid w:val="00130D1C"/>
    <w:rsid w:val="001966E2"/>
    <w:rsid w:val="001A1CD5"/>
    <w:rsid w:val="001A4514"/>
    <w:rsid w:val="001C3E2A"/>
    <w:rsid w:val="00285202"/>
    <w:rsid w:val="002A2F78"/>
    <w:rsid w:val="002E6125"/>
    <w:rsid w:val="00311FB1"/>
    <w:rsid w:val="003437D5"/>
    <w:rsid w:val="00353DC4"/>
    <w:rsid w:val="00366F76"/>
    <w:rsid w:val="00370E06"/>
    <w:rsid w:val="00394EB6"/>
    <w:rsid w:val="004251CA"/>
    <w:rsid w:val="004343DC"/>
    <w:rsid w:val="004741FD"/>
    <w:rsid w:val="00477EFE"/>
    <w:rsid w:val="00484FDF"/>
    <w:rsid w:val="004918A2"/>
    <w:rsid w:val="004A038E"/>
    <w:rsid w:val="004B44AC"/>
    <w:rsid w:val="004D601E"/>
    <w:rsid w:val="004E5200"/>
    <w:rsid w:val="005040C3"/>
    <w:rsid w:val="005221E2"/>
    <w:rsid w:val="00543ED3"/>
    <w:rsid w:val="00562DEC"/>
    <w:rsid w:val="00581652"/>
    <w:rsid w:val="00611923"/>
    <w:rsid w:val="006240D4"/>
    <w:rsid w:val="00657B04"/>
    <w:rsid w:val="00696406"/>
    <w:rsid w:val="006A290F"/>
    <w:rsid w:val="006B1E28"/>
    <w:rsid w:val="006C1B6B"/>
    <w:rsid w:val="00783777"/>
    <w:rsid w:val="007943A1"/>
    <w:rsid w:val="00796BFC"/>
    <w:rsid w:val="007A477B"/>
    <w:rsid w:val="007C7569"/>
    <w:rsid w:val="007E488A"/>
    <w:rsid w:val="00831B10"/>
    <w:rsid w:val="00832C6C"/>
    <w:rsid w:val="008543C6"/>
    <w:rsid w:val="00890068"/>
    <w:rsid w:val="00894E2E"/>
    <w:rsid w:val="008D0058"/>
    <w:rsid w:val="00924A9F"/>
    <w:rsid w:val="00AB5913"/>
    <w:rsid w:val="00BA1D79"/>
    <w:rsid w:val="00BA4031"/>
    <w:rsid w:val="00BA67D3"/>
    <w:rsid w:val="00BD13C7"/>
    <w:rsid w:val="00C00CFB"/>
    <w:rsid w:val="00C4525E"/>
    <w:rsid w:val="00CC538A"/>
    <w:rsid w:val="00D31621"/>
    <w:rsid w:val="00D402C1"/>
    <w:rsid w:val="00D9663F"/>
    <w:rsid w:val="00DE0959"/>
    <w:rsid w:val="00DE18C9"/>
    <w:rsid w:val="00E06E21"/>
    <w:rsid w:val="00E16FFA"/>
    <w:rsid w:val="00E5664C"/>
    <w:rsid w:val="00E96F5C"/>
    <w:rsid w:val="00ED5522"/>
    <w:rsid w:val="00F100B3"/>
    <w:rsid w:val="00F10B20"/>
    <w:rsid w:val="00F451FC"/>
    <w:rsid w:val="00F64056"/>
    <w:rsid w:val="00F93A3D"/>
    <w:rsid w:val="00F97538"/>
    <w:rsid w:val="00FC0ACF"/>
    <w:rsid w:val="00FD6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E3613"/>
  <w15:chartTrackingRefBased/>
  <w15:docId w15:val="{3F539FCE-D796-473F-BCFF-E3292AD5C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031"/>
    <w:pPr>
      <w:ind w:left="720"/>
      <w:contextualSpacing/>
    </w:pPr>
  </w:style>
  <w:style w:type="paragraph" w:styleId="NormalWeb">
    <w:name w:val="Normal (Web)"/>
    <w:basedOn w:val="Normal"/>
    <w:uiPriority w:val="99"/>
    <w:semiHidden/>
    <w:unhideWhenUsed/>
    <w:rsid w:val="00BA4031"/>
    <w:pPr>
      <w:spacing w:before="100" w:beforeAutospacing="1" w:after="100" w:afterAutospacing="1" w:line="240" w:lineRule="auto"/>
    </w:pPr>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D31621"/>
    <w:pPr>
      <w:spacing w:line="240" w:lineRule="auto"/>
    </w:pPr>
    <w:rPr>
      <w:sz w:val="20"/>
      <w:szCs w:val="20"/>
    </w:rPr>
  </w:style>
  <w:style w:type="character" w:customStyle="1" w:styleId="CommentTextChar">
    <w:name w:val="Comment Text Char"/>
    <w:basedOn w:val="DefaultParagraphFont"/>
    <w:link w:val="CommentText"/>
    <w:uiPriority w:val="99"/>
    <w:semiHidden/>
    <w:rsid w:val="00D31621"/>
    <w:rPr>
      <w:sz w:val="20"/>
      <w:szCs w:val="20"/>
    </w:rPr>
  </w:style>
  <w:style w:type="character" w:styleId="CommentReference">
    <w:name w:val="annotation reference"/>
    <w:basedOn w:val="DefaultParagraphFont"/>
    <w:uiPriority w:val="99"/>
    <w:semiHidden/>
    <w:unhideWhenUsed/>
    <w:rsid w:val="00D31621"/>
    <w:rPr>
      <w:sz w:val="16"/>
      <w:szCs w:val="16"/>
    </w:rPr>
  </w:style>
  <w:style w:type="paragraph" w:styleId="BalloonText">
    <w:name w:val="Balloon Text"/>
    <w:basedOn w:val="Normal"/>
    <w:link w:val="BalloonTextChar"/>
    <w:uiPriority w:val="99"/>
    <w:semiHidden/>
    <w:unhideWhenUsed/>
    <w:rsid w:val="004251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1CA"/>
    <w:rPr>
      <w:rFonts w:ascii="Segoe UI" w:hAnsi="Segoe UI" w:cs="Segoe UI"/>
      <w:sz w:val="18"/>
      <w:szCs w:val="18"/>
    </w:rPr>
  </w:style>
  <w:style w:type="paragraph" w:styleId="Revision">
    <w:name w:val="Revision"/>
    <w:hidden/>
    <w:uiPriority w:val="99"/>
    <w:semiHidden/>
    <w:rsid w:val="006240D4"/>
    <w:pPr>
      <w:spacing w:after="0" w:line="240" w:lineRule="auto"/>
    </w:pPr>
  </w:style>
  <w:style w:type="character" w:styleId="Hyperlink">
    <w:name w:val="Hyperlink"/>
    <w:basedOn w:val="DefaultParagraphFont"/>
    <w:uiPriority w:val="99"/>
    <w:semiHidden/>
    <w:unhideWhenUsed/>
    <w:rsid w:val="007C7569"/>
    <w:rPr>
      <w:color w:val="0000FF"/>
      <w:u w:val="single"/>
    </w:rPr>
  </w:style>
  <w:style w:type="character" w:customStyle="1" w:styleId="ej-journal-doi">
    <w:name w:val="ej-journal-doi"/>
    <w:basedOn w:val="DefaultParagraphFont"/>
    <w:rsid w:val="00924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5057207">
      <w:bodyDiv w:val="1"/>
      <w:marLeft w:val="0"/>
      <w:marRight w:val="0"/>
      <w:marTop w:val="0"/>
      <w:marBottom w:val="0"/>
      <w:divBdr>
        <w:top w:val="none" w:sz="0" w:space="0" w:color="auto"/>
        <w:left w:val="none" w:sz="0" w:space="0" w:color="auto"/>
        <w:bottom w:val="none" w:sz="0" w:space="0" w:color="auto"/>
        <w:right w:val="none" w:sz="0" w:space="0" w:color="auto"/>
      </w:divBdr>
    </w:div>
    <w:div w:id="1500078409">
      <w:bodyDiv w:val="1"/>
      <w:marLeft w:val="0"/>
      <w:marRight w:val="0"/>
      <w:marTop w:val="0"/>
      <w:marBottom w:val="0"/>
      <w:divBdr>
        <w:top w:val="none" w:sz="0" w:space="0" w:color="auto"/>
        <w:left w:val="none" w:sz="0" w:space="0" w:color="auto"/>
        <w:bottom w:val="none" w:sz="0" w:space="0" w:color="auto"/>
        <w:right w:val="none" w:sz="0" w:space="0" w:color="auto"/>
      </w:divBdr>
    </w:div>
    <w:div w:id="179891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gov/healthypeople/priority-areas/social-determinants-health" TargetMode="External"/><Relationship Id="rId3" Type="http://schemas.openxmlformats.org/officeDocument/2006/relationships/settings" Target="settings.xml"/><Relationship Id="rId7" Type="http://schemas.openxmlformats.org/officeDocument/2006/relationships/hyperlink" Target="https://www.cdc.gov/about/sdoh/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hyperlink" Target="https://learning.pedsnurses.org/products/equity-starts-early-understanding-social-determinants-of-health" TargetMode="External"/><Relationship Id="rId4" Type="http://schemas.openxmlformats.org/officeDocument/2006/relationships/webSettings" Target="webSettings.xml"/><Relationship Id="rId9" Type="http://schemas.openxmlformats.org/officeDocument/2006/relationships/hyperlink" Target="https://www.datascience.nih.gov/fhir-initiatives/common-data-elements-and-social-determinants-of-health"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b="1"/>
              <a:t>Familiar with SDOH</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extLst>
              <c:ext xmlns:c16="http://schemas.microsoft.com/office/drawing/2014/chart" uri="{C3380CC4-5D6E-409C-BE32-E72D297353CC}">
                <c16:uniqueId val="{00000001-2FE1-4FB2-8C85-0F90469EEE0D}"/>
              </c:ext>
            </c:extLst>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extLst>
              <c:ext xmlns:c16="http://schemas.microsoft.com/office/drawing/2014/chart" uri="{C3380CC4-5D6E-409C-BE32-E72D297353CC}">
                <c16:uniqueId val="{00000003-2FE1-4FB2-8C85-0F90469EEE0D}"/>
              </c:ext>
            </c:extLst>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extLst>
              <c:ext xmlns:c16="http://schemas.microsoft.com/office/drawing/2014/chart" uri="{C3380CC4-5D6E-409C-BE32-E72D297353CC}">
                <c16:uniqueId val="{00000005-2FE1-4FB2-8C85-0F90469EEE0D}"/>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0"/>
              <c:showCatName val="0"/>
              <c:showSerName val="0"/>
              <c:showPercent val="1"/>
              <c:showBubbleSize val="0"/>
              <c:extLst>
                <c:ext xmlns:c16="http://schemas.microsoft.com/office/drawing/2014/chart" uri="{C3380CC4-5D6E-409C-BE32-E72D297353CC}">
                  <c16:uniqueId val="{00000001-2FE1-4FB2-8C85-0F90469EEE0D}"/>
                </c:ext>
              </c:extLst>
            </c:dLbl>
            <c:dLbl>
              <c:idx val="1"/>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0"/>
              <c:showCatName val="0"/>
              <c:showSerName val="0"/>
              <c:showPercent val="1"/>
              <c:showBubbleSize val="0"/>
              <c:extLst>
                <c:ext xmlns:c16="http://schemas.microsoft.com/office/drawing/2014/chart" uri="{C3380CC4-5D6E-409C-BE32-E72D297353CC}">
                  <c16:uniqueId val="{00000003-2FE1-4FB2-8C85-0F90469EEE0D}"/>
                </c:ext>
              </c:extLst>
            </c:dLbl>
            <c:dLbl>
              <c:idx val="2"/>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0"/>
              <c:showCatName val="0"/>
              <c:showSerName val="0"/>
              <c:showPercent val="1"/>
              <c:showBubbleSize val="0"/>
              <c:extLst>
                <c:ext xmlns:c16="http://schemas.microsoft.com/office/drawing/2014/chart" uri="{C3380CC4-5D6E-409C-BE32-E72D297353CC}">
                  <c16:uniqueId val="{00000005-2FE1-4FB2-8C85-0F90469EEE0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Sheet1!$A$1:$A$3</c:f>
              <c:strCache>
                <c:ptCount val="3"/>
                <c:pt idx="0">
                  <c:v>Yes</c:v>
                </c:pt>
                <c:pt idx="1">
                  <c:v>No</c:v>
                </c:pt>
                <c:pt idx="2">
                  <c:v>Aware, but need more information</c:v>
                </c:pt>
              </c:strCache>
            </c:strRef>
          </c:cat>
          <c:val>
            <c:numRef>
              <c:f>Sheet1!$B$1:$B$3</c:f>
              <c:numCache>
                <c:formatCode>General</c:formatCode>
                <c:ptCount val="3"/>
                <c:pt idx="0">
                  <c:v>77</c:v>
                </c:pt>
                <c:pt idx="1">
                  <c:v>7</c:v>
                </c:pt>
                <c:pt idx="2">
                  <c:v>18</c:v>
                </c:pt>
              </c:numCache>
            </c:numRef>
          </c:val>
          <c:extLst>
            <c:ext xmlns:c16="http://schemas.microsoft.com/office/drawing/2014/chart" uri="{C3380CC4-5D6E-409C-BE32-E72D297353CC}">
              <c16:uniqueId val="{00000006-2FE1-4FB2-8C85-0F90469EEE0D}"/>
            </c:ext>
          </c:extLst>
        </c:ser>
        <c:dLbls>
          <c:dLblPos val="in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Conditions</a:t>
            </a:r>
            <a:r>
              <a:rPr lang="en-US" baseline="0"/>
              <a:t> Associated</a:t>
            </a:r>
          </a:p>
          <a:p>
            <a:pPr>
              <a:defRPr/>
            </a:pPr>
            <a:r>
              <a:rPr lang="en-US" baseline="0"/>
              <a:t> with SDOH</a:t>
            </a:r>
            <a:endParaRPr lang="en-US"/>
          </a:p>
        </c:rich>
      </c:tx>
      <c:layout>
        <c:manualLayout>
          <c:xMode val="edge"/>
          <c:yMode val="edge"/>
          <c:x val="9.9999999999999933E-3"/>
          <c:y val="3.9090262970859983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doughnut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6F18-498D-8BE5-051036E6A2FE}"/>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6F18-498D-8BE5-051036E6A2FE}"/>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6F18-498D-8BE5-051036E6A2FE}"/>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6F18-498D-8BE5-051036E6A2FE}"/>
              </c:ext>
            </c:extLst>
          </c:dPt>
          <c:dLbls>
            <c:dLbl>
              <c:idx val="0"/>
              <c:layout>
                <c:manualLayout>
                  <c:x val="-6.7183462532299745E-2"/>
                  <c:y val="-0.11965985595084198"/>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F18-498D-8BE5-051036E6A2FE}"/>
                </c:ext>
              </c:extLst>
            </c:dLbl>
            <c:dLbl>
              <c:idx val="1"/>
              <c:layout>
                <c:manualLayout>
                  <c:x val="5.1679586563307491E-2"/>
                  <c:y val="-0.1840737258588945"/>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F18-498D-8BE5-051036E6A2FE}"/>
                </c:ext>
              </c:extLst>
            </c:dLbl>
            <c:dLbl>
              <c:idx val="2"/>
              <c:layout>
                <c:manualLayout>
                  <c:x val="0.11627906976744186"/>
                  <c:y val="-0.12443771021159669"/>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F18-498D-8BE5-051036E6A2FE}"/>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Lst>
          </c:dLbls>
          <c:cat>
            <c:strRef>
              <c:f>Sheet1!$A$26:$A$29</c:f>
              <c:strCache>
                <c:ptCount val="4"/>
                <c:pt idx="0">
                  <c:v>Asthma</c:v>
                </c:pt>
                <c:pt idx="1">
                  <c:v>Diabetes</c:v>
                </c:pt>
                <c:pt idx="2">
                  <c:v>Obesity</c:v>
                </c:pt>
                <c:pt idx="3">
                  <c:v>All of the above</c:v>
                </c:pt>
              </c:strCache>
            </c:strRef>
          </c:cat>
          <c:val>
            <c:numRef>
              <c:f>Sheet1!$B$26:$B$29</c:f>
              <c:numCache>
                <c:formatCode>General</c:formatCode>
                <c:ptCount val="4"/>
                <c:pt idx="0">
                  <c:v>1</c:v>
                </c:pt>
                <c:pt idx="1">
                  <c:v>4</c:v>
                </c:pt>
                <c:pt idx="2">
                  <c:v>4</c:v>
                </c:pt>
                <c:pt idx="3">
                  <c:v>69</c:v>
                </c:pt>
              </c:numCache>
            </c:numRef>
          </c:val>
          <c:extLst>
            <c:ext xmlns:c16="http://schemas.microsoft.com/office/drawing/2014/chart" uri="{C3380CC4-5D6E-409C-BE32-E72D297353CC}">
              <c16:uniqueId val="{00000008-6F18-498D-8BE5-051036E6A2FE}"/>
            </c:ext>
          </c:extLst>
        </c:ser>
        <c:dLbls>
          <c:showLegendKey val="0"/>
          <c:showVal val="0"/>
          <c:showCatName val="0"/>
          <c:showSerName val="0"/>
          <c:showPercent val="0"/>
          <c:showBubbleSize val="0"/>
          <c:showLeaderLines val="1"/>
        </c:dLbls>
        <c:firstSliceAng val="0"/>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625</Words>
  <Characters>3567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McNeely, Heidi</dc:creator>
  <cp:keywords/>
  <dc:description/>
  <cp:lastModifiedBy>Eskew, Kimberly</cp:lastModifiedBy>
  <cp:revision>2</cp:revision>
  <dcterms:created xsi:type="dcterms:W3CDTF">2024-04-30T19:53:00Z</dcterms:created>
  <dcterms:modified xsi:type="dcterms:W3CDTF">2024-04-30T19:53:00Z</dcterms:modified>
</cp:coreProperties>
</file>